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D2B" w:rsidRDefault="00B37E37">
      <w:pPr>
        <w:widowControl/>
        <w:spacing w:line="560" w:lineRule="exact"/>
        <w:jc w:val="center"/>
        <w:rPr>
          <w:rFonts w:ascii="华文中宋" w:eastAsia="华文中宋" w:hAnsi="华文中宋"/>
          <w:b/>
          <w:bCs/>
          <w:sz w:val="44"/>
          <w:szCs w:val="44"/>
        </w:rPr>
      </w:pPr>
      <w:r>
        <w:rPr>
          <w:rFonts w:ascii="华文中宋" w:eastAsia="华文中宋" w:hAnsi="华文中宋" w:hint="eastAsia"/>
          <w:b/>
          <w:bCs/>
          <w:sz w:val="44"/>
          <w:szCs w:val="44"/>
        </w:rPr>
        <w:t>预付式消费资金监管研讨沙龙成功举办</w:t>
      </w:r>
    </w:p>
    <w:p w:rsidR="00821D2B" w:rsidRDefault="00821D2B">
      <w:pPr>
        <w:widowControl/>
        <w:spacing w:line="560" w:lineRule="exact"/>
        <w:jc w:val="center"/>
        <w:rPr>
          <w:rFonts w:ascii="华文中宋" w:eastAsia="华文中宋" w:hAnsi="华文中宋"/>
          <w:b/>
          <w:bCs/>
          <w:sz w:val="44"/>
          <w:szCs w:val="44"/>
        </w:rPr>
      </w:pPr>
    </w:p>
    <w:p w:rsidR="00821D2B" w:rsidRDefault="00B37E37">
      <w:pPr>
        <w:widowControl/>
        <w:spacing w:line="560" w:lineRule="exact"/>
        <w:ind w:firstLineChars="200" w:firstLine="640"/>
        <w:rPr>
          <w:rFonts w:ascii="仿宋" w:eastAsia="仿宋" w:hAnsi="仿宋"/>
          <w:sz w:val="32"/>
          <w:szCs w:val="32"/>
        </w:rPr>
      </w:pPr>
      <w:r w:rsidRPr="00B37E37">
        <w:rPr>
          <w:rFonts w:ascii="仿宋" w:eastAsia="仿宋" w:hAnsi="仿宋" w:hint="eastAsia"/>
          <w:sz w:val="32"/>
          <w:szCs w:val="32"/>
        </w:rPr>
        <w:t>为进一步拓展苏州市预付式消费</w:t>
      </w:r>
      <w:r>
        <w:rPr>
          <w:rFonts w:ascii="仿宋" w:eastAsia="仿宋" w:hAnsi="仿宋" w:hint="eastAsia"/>
          <w:sz w:val="32"/>
          <w:szCs w:val="32"/>
        </w:rPr>
        <w:t>资金管理</w:t>
      </w:r>
      <w:r w:rsidRPr="00B37E37">
        <w:rPr>
          <w:rFonts w:ascii="仿宋" w:eastAsia="仿宋" w:hAnsi="仿宋" w:hint="eastAsia"/>
          <w:sz w:val="32"/>
          <w:szCs w:val="32"/>
        </w:rPr>
        <w:t>平台的推广和应用，助力激发预付消费市场活力，提升社会治理效能</w:t>
      </w:r>
      <w:r w:rsidRPr="00B37E37">
        <w:rPr>
          <w:rFonts w:ascii="仿宋" w:eastAsia="仿宋" w:hAnsi="仿宋" w:hint="eastAsia"/>
          <w:sz w:val="32"/>
          <w:szCs w:val="32"/>
        </w:rPr>
        <w:t>。</w:t>
      </w:r>
      <w:r>
        <w:rPr>
          <w:rFonts w:ascii="仿宋" w:eastAsia="仿宋" w:hAnsi="仿宋" w:hint="eastAsia"/>
          <w:sz w:val="32"/>
          <w:szCs w:val="32"/>
        </w:rPr>
        <w:t>4</w:t>
      </w:r>
      <w:r>
        <w:rPr>
          <w:rFonts w:ascii="仿宋" w:eastAsia="仿宋" w:hAnsi="仿宋" w:hint="eastAsia"/>
          <w:sz w:val="32"/>
          <w:szCs w:val="32"/>
        </w:rPr>
        <w:t>月</w:t>
      </w:r>
      <w:r>
        <w:rPr>
          <w:rFonts w:ascii="仿宋" w:eastAsia="仿宋" w:hAnsi="仿宋" w:hint="eastAsia"/>
          <w:sz w:val="32"/>
          <w:szCs w:val="32"/>
        </w:rPr>
        <w:t>6</w:t>
      </w:r>
      <w:r>
        <w:rPr>
          <w:rFonts w:ascii="仿宋" w:eastAsia="仿宋" w:hAnsi="仿宋" w:hint="eastAsia"/>
          <w:sz w:val="32"/>
          <w:szCs w:val="32"/>
        </w:rPr>
        <w:t>日上午，由苏州市金融监管局主办</w:t>
      </w:r>
      <w:r>
        <w:rPr>
          <w:rFonts w:ascii="仿宋" w:eastAsia="仿宋" w:hAnsi="仿宋"/>
          <w:sz w:val="32"/>
          <w:szCs w:val="32"/>
        </w:rPr>
        <w:t>,</w:t>
      </w:r>
      <w:r>
        <w:rPr>
          <w:rFonts w:ascii="仿宋" w:eastAsia="仿宋" w:hAnsi="仿宋" w:hint="eastAsia"/>
          <w:sz w:val="32"/>
          <w:szCs w:val="32"/>
        </w:rPr>
        <w:t>苏州市长三角数字金融产业研究中心、苏州信托承办的预付式消费资金监管研讨沙龙</w:t>
      </w:r>
      <w:r>
        <w:rPr>
          <w:rFonts w:ascii="仿宋" w:eastAsia="仿宋" w:hAnsi="仿宋" w:hint="eastAsia"/>
          <w:sz w:val="32"/>
          <w:szCs w:val="32"/>
        </w:rPr>
        <w:t>成功举办。苏州市金融监管局局长谢善鸿、体育局副局长陈艳青、苏州市长三角数字金融产业研究中心主任陆志东、苏州信托副总裁兼董事会秘书汪瑜出席活动。</w:t>
      </w:r>
    </w:p>
    <w:p w:rsidR="00821D2B" w:rsidRDefault="00B37E37" w:rsidP="00B37E37">
      <w:pPr>
        <w:widowControl/>
        <w:tabs>
          <w:tab w:val="left" w:pos="3570"/>
        </w:tabs>
        <w:spacing w:line="560" w:lineRule="exact"/>
        <w:ind w:firstLineChars="200" w:firstLine="640"/>
        <w:jc w:val="center"/>
        <w:rPr>
          <w:rFonts w:ascii="仿宋" w:eastAsia="仿宋" w:hAnsi="仿宋"/>
          <w:sz w:val="32"/>
          <w:szCs w:val="32"/>
        </w:rPr>
      </w:pPr>
      <w:r w:rsidRPr="00B37E37">
        <w:rPr>
          <w:rFonts w:ascii="仿宋" w:eastAsia="仿宋" w:hAnsi="仿宋"/>
          <w:noProof/>
          <w:sz w:val="32"/>
          <w:szCs w:val="32"/>
        </w:rPr>
        <w:drawing>
          <wp:anchor distT="0" distB="0" distL="114935" distR="114935" simplePos="0" relativeHeight="251659264" behindDoc="0" locked="0" layoutInCell="1" allowOverlap="1" wp14:anchorId="3B320B27" wp14:editId="09E2A8D8">
            <wp:simplePos x="0" y="0"/>
            <wp:positionH relativeFrom="column">
              <wp:posOffset>118110</wp:posOffset>
            </wp:positionH>
            <wp:positionV relativeFrom="paragraph">
              <wp:posOffset>64135</wp:posOffset>
            </wp:positionV>
            <wp:extent cx="5266690" cy="3515995"/>
            <wp:effectExtent l="0" t="0" r="10160" b="8255"/>
            <wp:wrapNone/>
            <wp:docPr id="1" name="图片 1" descr="微信图片_202304071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407155850"/>
                    <pic:cNvPicPr>
                      <a:picLocks noChangeAspect="1"/>
                    </pic:cNvPicPr>
                  </pic:nvPicPr>
                  <pic:blipFill>
                    <a:blip r:embed="rId5"/>
                    <a:stretch>
                      <a:fillRect/>
                    </a:stretch>
                  </pic:blipFill>
                  <pic:spPr>
                    <a:xfrm>
                      <a:off x="0" y="0"/>
                      <a:ext cx="5266690" cy="3515995"/>
                    </a:xfrm>
                    <a:prstGeom prst="rect">
                      <a:avLst/>
                    </a:prstGeom>
                  </pic:spPr>
                </pic:pic>
              </a:graphicData>
            </a:graphic>
          </wp:anchor>
        </w:drawing>
      </w: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821D2B" w:rsidP="00B37E37">
      <w:pPr>
        <w:widowControl/>
        <w:tabs>
          <w:tab w:val="left" w:pos="3570"/>
        </w:tabs>
        <w:spacing w:line="560" w:lineRule="exact"/>
        <w:ind w:firstLineChars="200" w:firstLine="640"/>
        <w:jc w:val="center"/>
        <w:rPr>
          <w:rFonts w:ascii="仿宋" w:eastAsia="仿宋" w:hAnsi="仿宋"/>
          <w:sz w:val="32"/>
          <w:szCs w:val="32"/>
        </w:rPr>
      </w:pPr>
    </w:p>
    <w:p w:rsidR="00821D2B" w:rsidRDefault="00B37E37">
      <w:pPr>
        <w:widowControl/>
        <w:spacing w:line="560" w:lineRule="exact"/>
        <w:ind w:firstLineChars="200" w:firstLine="640"/>
        <w:rPr>
          <w:rFonts w:ascii="仿宋" w:eastAsia="仿宋" w:hAnsi="仿宋"/>
          <w:sz w:val="32"/>
          <w:szCs w:val="32"/>
        </w:rPr>
      </w:pPr>
      <w:r>
        <w:rPr>
          <w:rFonts w:ascii="仿宋" w:eastAsia="仿宋" w:hAnsi="仿宋" w:hint="eastAsia"/>
          <w:sz w:val="32"/>
          <w:szCs w:val="32"/>
        </w:rPr>
        <w:t>谢善鸿同志在致辞中表示，苏州市预付式消费资金管理平台于</w:t>
      </w:r>
      <w:r>
        <w:rPr>
          <w:rFonts w:ascii="仿宋" w:eastAsia="仿宋" w:hAnsi="仿宋" w:hint="eastAsia"/>
          <w:sz w:val="32"/>
          <w:szCs w:val="32"/>
        </w:rPr>
        <w:t>2021</w:t>
      </w:r>
      <w:r>
        <w:rPr>
          <w:rFonts w:ascii="仿宋" w:eastAsia="仿宋" w:hAnsi="仿宋" w:hint="eastAsia"/>
          <w:sz w:val="32"/>
          <w:szCs w:val="32"/>
        </w:rPr>
        <w:t>年由苏州市金融监管局牵头启动，目前已完成基础建设工作。作为全国首个市级统一的预付式消费资金管理平台，共包含校外培训、住房租赁、体育健身、商超预付、</w:t>
      </w:r>
      <w:r>
        <w:rPr>
          <w:rFonts w:ascii="仿宋" w:eastAsia="仿宋" w:hAnsi="仿宋" w:hint="eastAsia"/>
          <w:sz w:val="32"/>
          <w:szCs w:val="32"/>
        </w:rPr>
        <w:t>养老服务</w:t>
      </w:r>
      <w:r>
        <w:rPr>
          <w:rFonts w:ascii="仿宋" w:eastAsia="仿宋" w:hAnsi="仿宋" w:hint="eastAsia"/>
          <w:sz w:val="32"/>
          <w:szCs w:val="32"/>
        </w:rPr>
        <w:t>等</w:t>
      </w:r>
      <w:r>
        <w:rPr>
          <w:rFonts w:ascii="仿宋" w:eastAsia="仿宋" w:hAnsi="仿宋" w:hint="eastAsia"/>
          <w:sz w:val="32"/>
          <w:szCs w:val="32"/>
        </w:rPr>
        <w:t>5</w:t>
      </w:r>
      <w:r>
        <w:rPr>
          <w:rFonts w:ascii="仿宋" w:eastAsia="仿宋" w:hAnsi="仿宋" w:hint="eastAsia"/>
          <w:sz w:val="32"/>
          <w:szCs w:val="32"/>
        </w:rPr>
        <w:t>个子系统，其中校外培训学科类系统已正式投</w:t>
      </w:r>
      <w:r>
        <w:rPr>
          <w:rFonts w:ascii="仿宋" w:eastAsia="仿宋" w:hAnsi="仿宋" w:hint="eastAsia"/>
          <w:sz w:val="32"/>
          <w:szCs w:val="32"/>
        </w:rPr>
        <w:lastRenderedPageBreak/>
        <w:t>入运营。此次研讨会的召开，将结合智能合约应用，探索更好更快推动预付式消费资金监管向更广领域拓展。</w:t>
      </w:r>
    </w:p>
    <w:p w:rsidR="00821D2B" w:rsidRDefault="00B37E37" w:rsidP="00B37E37">
      <w:pPr>
        <w:widowControl/>
        <w:spacing w:line="560" w:lineRule="exact"/>
        <w:ind w:firstLineChars="200" w:firstLine="640"/>
        <w:rPr>
          <w:rFonts w:ascii="仿宋" w:eastAsia="仿宋" w:hAnsi="仿宋"/>
          <w:sz w:val="32"/>
          <w:szCs w:val="32"/>
        </w:rPr>
      </w:pPr>
      <w:r w:rsidRPr="00B37E37">
        <w:rPr>
          <w:rFonts w:ascii="仿宋" w:eastAsia="仿宋" w:hAnsi="仿宋"/>
          <w:noProof/>
          <w:sz w:val="32"/>
          <w:szCs w:val="32"/>
        </w:rPr>
        <w:drawing>
          <wp:anchor distT="0" distB="0" distL="114935" distR="114935" simplePos="0" relativeHeight="251660288" behindDoc="0" locked="0" layoutInCell="1" allowOverlap="1" wp14:anchorId="47FB7312" wp14:editId="147A4E23">
            <wp:simplePos x="0" y="0"/>
            <wp:positionH relativeFrom="column">
              <wp:posOffset>3175</wp:posOffset>
            </wp:positionH>
            <wp:positionV relativeFrom="paragraph">
              <wp:posOffset>37465</wp:posOffset>
            </wp:positionV>
            <wp:extent cx="5266690" cy="3511550"/>
            <wp:effectExtent l="0" t="0" r="0" b="0"/>
            <wp:wrapNone/>
            <wp:docPr id="2" name="图片 2" descr="微信图片_2023040715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407155915"/>
                    <pic:cNvPicPr>
                      <a:picLocks noChangeAspect="1"/>
                    </pic:cNvPicPr>
                  </pic:nvPicPr>
                  <pic:blipFill>
                    <a:blip r:embed="rId6"/>
                    <a:stretch>
                      <a:fillRect/>
                    </a:stretch>
                  </pic:blipFill>
                  <pic:spPr>
                    <a:xfrm>
                      <a:off x="0" y="0"/>
                      <a:ext cx="5266690" cy="3511550"/>
                    </a:xfrm>
                    <a:prstGeom prst="rect">
                      <a:avLst/>
                    </a:prstGeom>
                  </pic:spPr>
                </pic:pic>
              </a:graphicData>
            </a:graphic>
          </wp:anchor>
        </w:drawing>
      </w: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rsidP="00B37E37">
      <w:pPr>
        <w:widowControl/>
        <w:spacing w:line="560" w:lineRule="exact"/>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B37E37" w:rsidP="00B37E37">
      <w:pPr>
        <w:widowControl/>
        <w:spacing w:line="560" w:lineRule="exact"/>
        <w:ind w:firstLineChars="200" w:firstLine="640"/>
        <w:jc w:val="center"/>
        <w:rPr>
          <w:rFonts w:ascii="仿宋" w:eastAsia="仿宋" w:hAnsi="仿宋"/>
          <w:sz w:val="32"/>
          <w:szCs w:val="32"/>
        </w:rPr>
      </w:pPr>
      <w:bookmarkStart w:id="0" w:name="_GoBack"/>
      <w:r w:rsidRPr="00B37E37">
        <w:rPr>
          <w:rFonts w:ascii="仿宋" w:eastAsia="仿宋" w:hAnsi="仿宋"/>
          <w:noProof/>
          <w:sz w:val="32"/>
          <w:szCs w:val="32"/>
        </w:rPr>
        <w:drawing>
          <wp:anchor distT="0" distB="0" distL="114935" distR="114935" simplePos="0" relativeHeight="251662336" behindDoc="0" locked="0" layoutInCell="1" allowOverlap="1" wp14:anchorId="121B1060" wp14:editId="334FE66D">
            <wp:simplePos x="0" y="0"/>
            <wp:positionH relativeFrom="column">
              <wp:posOffset>12898</wp:posOffset>
            </wp:positionH>
            <wp:positionV relativeFrom="paragraph">
              <wp:posOffset>84650</wp:posOffset>
            </wp:positionV>
            <wp:extent cx="5273675" cy="3524250"/>
            <wp:effectExtent l="0" t="0" r="3175" b="0"/>
            <wp:wrapNone/>
            <wp:docPr id="3" name="图片 3" descr="微信图片_20230407155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4071559151"/>
                    <pic:cNvPicPr>
                      <a:picLocks noChangeAspect="1"/>
                    </pic:cNvPicPr>
                  </pic:nvPicPr>
                  <pic:blipFill>
                    <a:blip r:embed="rId7"/>
                    <a:stretch>
                      <a:fillRect/>
                    </a:stretch>
                  </pic:blipFill>
                  <pic:spPr>
                    <a:xfrm>
                      <a:off x="0" y="0"/>
                      <a:ext cx="5273675" cy="3524250"/>
                    </a:xfrm>
                    <a:prstGeom prst="rect">
                      <a:avLst/>
                    </a:prstGeom>
                  </pic:spPr>
                </pic:pic>
              </a:graphicData>
            </a:graphic>
          </wp:anchor>
        </w:drawing>
      </w:r>
      <w:bookmarkEnd w:id="0"/>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B37E37">
      <w:pPr>
        <w:widowControl/>
        <w:spacing w:line="560" w:lineRule="exact"/>
        <w:ind w:firstLineChars="200" w:firstLine="640"/>
        <w:rPr>
          <w:rFonts w:ascii="仿宋" w:eastAsia="仿宋" w:hAnsi="仿宋"/>
          <w:sz w:val="32"/>
          <w:szCs w:val="32"/>
        </w:rPr>
      </w:pPr>
      <w:r>
        <w:rPr>
          <w:rFonts w:ascii="仿宋" w:eastAsia="仿宋" w:hAnsi="仿宋" w:hint="eastAsia"/>
          <w:sz w:val="32"/>
          <w:szCs w:val="32"/>
        </w:rPr>
        <w:lastRenderedPageBreak/>
        <w:t>本次研讨会还集聚了来自金融监管机构、各相关</w:t>
      </w:r>
      <w:r>
        <w:rPr>
          <w:rFonts w:ascii="仿宋" w:eastAsia="仿宋" w:hAnsi="仿宋" w:hint="eastAsia"/>
          <w:sz w:val="32"/>
          <w:szCs w:val="32"/>
        </w:rPr>
        <w:t>行业的政府</w:t>
      </w:r>
      <w:r>
        <w:rPr>
          <w:rFonts w:ascii="仿宋" w:eastAsia="仿宋" w:hAnsi="仿宋" w:hint="eastAsia"/>
          <w:sz w:val="32"/>
          <w:szCs w:val="32"/>
        </w:rPr>
        <w:t>主管部门、</w:t>
      </w:r>
      <w:r>
        <w:rPr>
          <w:rFonts w:ascii="仿宋" w:eastAsia="仿宋" w:hAnsi="仿宋" w:hint="eastAsia"/>
          <w:sz w:val="32"/>
          <w:szCs w:val="32"/>
        </w:rPr>
        <w:t>多家银行</w:t>
      </w:r>
      <w:r>
        <w:rPr>
          <w:rFonts w:ascii="仿宋" w:eastAsia="仿宋" w:hAnsi="仿宋" w:hint="eastAsia"/>
          <w:sz w:val="32"/>
          <w:szCs w:val="32"/>
        </w:rPr>
        <w:t>、律所、</w:t>
      </w:r>
      <w:r>
        <w:rPr>
          <w:rFonts w:ascii="仿宋" w:eastAsia="仿宋" w:hAnsi="仿宋" w:hint="eastAsia"/>
          <w:sz w:val="32"/>
          <w:szCs w:val="32"/>
        </w:rPr>
        <w:t>高等</w:t>
      </w:r>
      <w:r>
        <w:rPr>
          <w:rFonts w:ascii="仿宋" w:eastAsia="仿宋" w:hAnsi="仿宋" w:hint="eastAsia"/>
          <w:sz w:val="32"/>
          <w:szCs w:val="32"/>
        </w:rPr>
        <w:t>院校、</w:t>
      </w:r>
      <w:r>
        <w:rPr>
          <w:rFonts w:ascii="仿宋" w:eastAsia="仿宋" w:hAnsi="仿宋" w:hint="eastAsia"/>
          <w:sz w:val="32"/>
          <w:szCs w:val="32"/>
        </w:rPr>
        <w:t>相关企业</w:t>
      </w:r>
      <w:r>
        <w:rPr>
          <w:rFonts w:ascii="仿宋" w:eastAsia="仿宋" w:hAnsi="仿宋" w:hint="eastAsia"/>
          <w:sz w:val="32"/>
          <w:szCs w:val="32"/>
        </w:rPr>
        <w:t>等</w:t>
      </w:r>
      <w:r>
        <w:rPr>
          <w:rFonts w:ascii="仿宋" w:eastAsia="仿宋" w:hAnsi="仿宋" w:hint="eastAsia"/>
          <w:sz w:val="32"/>
          <w:szCs w:val="32"/>
        </w:rPr>
        <w:t>60</w:t>
      </w:r>
      <w:r>
        <w:rPr>
          <w:rFonts w:ascii="仿宋" w:eastAsia="仿宋" w:hAnsi="仿宋" w:hint="eastAsia"/>
          <w:sz w:val="32"/>
          <w:szCs w:val="32"/>
        </w:rPr>
        <w:t>名代表</w:t>
      </w:r>
      <w:r>
        <w:rPr>
          <w:rFonts w:ascii="仿宋" w:eastAsia="仿宋" w:hAnsi="仿宋" w:hint="eastAsia"/>
          <w:sz w:val="32"/>
          <w:szCs w:val="32"/>
        </w:rPr>
        <w:t>。在主题研讨环节，与会人员围绕如何推动苏州市预付式消费平台的推广和应用，数字人民币智能合约在预付式消费资金监管领域应用等方面进行了交流发言，探讨助力化解资金风险，共建社会治理数字政府。</w:t>
      </w:r>
    </w:p>
    <w:p w:rsidR="00821D2B" w:rsidRDefault="00B37E37" w:rsidP="00B37E37">
      <w:pPr>
        <w:widowControl/>
        <w:spacing w:line="560" w:lineRule="exact"/>
        <w:ind w:firstLineChars="200" w:firstLine="640"/>
        <w:jc w:val="center"/>
        <w:rPr>
          <w:rFonts w:ascii="仿宋" w:eastAsia="仿宋" w:hAnsi="仿宋"/>
          <w:sz w:val="32"/>
          <w:szCs w:val="32"/>
        </w:rPr>
      </w:pPr>
      <w:r w:rsidRPr="00B37E37">
        <w:rPr>
          <w:rFonts w:ascii="仿宋" w:eastAsia="仿宋" w:hAnsi="仿宋"/>
          <w:noProof/>
          <w:sz w:val="32"/>
          <w:szCs w:val="32"/>
        </w:rPr>
        <w:drawing>
          <wp:anchor distT="0" distB="0" distL="114935" distR="114935" simplePos="0" relativeHeight="251661312" behindDoc="0" locked="0" layoutInCell="1" allowOverlap="1" wp14:anchorId="759C0672" wp14:editId="7DB04C3B">
            <wp:simplePos x="0" y="0"/>
            <wp:positionH relativeFrom="column">
              <wp:posOffset>30480</wp:posOffset>
            </wp:positionH>
            <wp:positionV relativeFrom="paragraph">
              <wp:posOffset>88265</wp:posOffset>
            </wp:positionV>
            <wp:extent cx="5272405" cy="3532505"/>
            <wp:effectExtent l="0" t="0" r="4445" b="10795"/>
            <wp:wrapNone/>
            <wp:docPr id="4" name="图片 4" descr="微信图片_2023040715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407155902"/>
                    <pic:cNvPicPr>
                      <a:picLocks noChangeAspect="1"/>
                    </pic:cNvPicPr>
                  </pic:nvPicPr>
                  <pic:blipFill>
                    <a:blip r:embed="rId8"/>
                    <a:stretch>
                      <a:fillRect/>
                    </a:stretch>
                  </pic:blipFill>
                  <pic:spPr>
                    <a:xfrm>
                      <a:off x="0" y="0"/>
                      <a:ext cx="5272405" cy="3532505"/>
                    </a:xfrm>
                    <a:prstGeom prst="rect">
                      <a:avLst/>
                    </a:prstGeom>
                  </pic:spPr>
                </pic:pic>
              </a:graphicData>
            </a:graphic>
          </wp:anchor>
        </w:drawing>
      </w: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rsidP="00B37E37">
      <w:pPr>
        <w:widowControl/>
        <w:spacing w:line="560" w:lineRule="exact"/>
        <w:ind w:firstLineChars="200" w:firstLine="640"/>
        <w:jc w:val="center"/>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821D2B">
      <w:pPr>
        <w:widowControl/>
        <w:spacing w:line="560" w:lineRule="exact"/>
        <w:ind w:firstLineChars="200" w:firstLine="640"/>
        <w:rPr>
          <w:rFonts w:ascii="仿宋" w:eastAsia="仿宋" w:hAnsi="仿宋"/>
          <w:sz w:val="32"/>
          <w:szCs w:val="32"/>
        </w:rPr>
      </w:pPr>
    </w:p>
    <w:p w:rsidR="00821D2B" w:rsidRDefault="00B37E37">
      <w:pPr>
        <w:widowControl/>
        <w:spacing w:line="560" w:lineRule="exact"/>
        <w:ind w:firstLineChars="200" w:firstLine="640"/>
        <w:rPr>
          <w:rFonts w:ascii="仿宋" w:eastAsia="仿宋" w:hAnsi="仿宋"/>
          <w:sz w:val="32"/>
          <w:szCs w:val="32"/>
        </w:rPr>
      </w:pPr>
      <w:r>
        <w:rPr>
          <w:rFonts w:ascii="仿宋" w:eastAsia="仿宋" w:hAnsi="仿宋"/>
          <w:sz w:val="32"/>
          <w:szCs w:val="32"/>
        </w:rPr>
        <w:t>苏州信托</w:t>
      </w:r>
      <w:r>
        <w:rPr>
          <w:rFonts w:ascii="仿宋" w:eastAsia="仿宋" w:hAnsi="仿宋" w:hint="eastAsia"/>
          <w:sz w:val="32"/>
          <w:szCs w:val="32"/>
        </w:rPr>
        <w:t>将</w:t>
      </w:r>
      <w:r>
        <w:rPr>
          <w:rFonts w:ascii="仿宋" w:eastAsia="仿宋" w:hAnsi="仿宋"/>
          <w:sz w:val="32"/>
          <w:szCs w:val="32"/>
        </w:rPr>
        <w:t>以此</w:t>
      </w:r>
      <w:r>
        <w:rPr>
          <w:rFonts w:ascii="仿宋" w:eastAsia="仿宋" w:hAnsi="仿宋" w:hint="eastAsia"/>
          <w:sz w:val="32"/>
          <w:szCs w:val="32"/>
        </w:rPr>
        <w:t>次研讨</w:t>
      </w:r>
      <w:r>
        <w:rPr>
          <w:rFonts w:ascii="仿宋" w:eastAsia="仿宋" w:hAnsi="仿宋"/>
          <w:sz w:val="32"/>
          <w:szCs w:val="32"/>
        </w:rPr>
        <w:t>为契机，</w:t>
      </w:r>
      <w:r>
        <w:rPr>
          <w:rFonts w:ascii="仿宋" w:eastAsia="仿宋" w:hAnsi="仿宋" w:hint="eastAsia"/>
          <w:sz w:val="32"/>
          <w:szCs w:val="32"/>
        </w:rPr>
        <w:t>加强</w:t>
      </w:r>
      <w:r>
        <w:rPr>
          <w:rFonts w:ascii="仿宋" w:eastAsia="仿宋" w:hAnsi="仿宋"/>
          <w:sz w:val="32"/>
          <w:szCs w:val="32"/>
        </w:rPr>
        <w:t>与</w:t>
      </w:r>
      <w:r>
        <w:rPr>
          <w:rFonts w:ascii="仿宋" w:eastAsia="仿宋" w:hAnsi="仿宋" w:hint="eastAsia"/>
          <w:sz w:val="32"/>
          <w:szCs w:val="32"/>
        </w:rPr>
        <w:t>各行业主管部门、金融机构同业等相关单位的</w:t>
      </w:r>
      <w:r>
        <w:rPr>
          <w:rFonts w:ascii="仿宋" w:eastAsia="仿宋" w:hAnsi="仿宋"/>
          <w:sz w:val="32"/>
          <w:szCs w:val="32"/>
        </w:rPr>
        <w:t>交流和合作</w:t>
      </w:r>
      <w:r>
        <w:rPr>
          <w:rFonts w:ascii="仿宋" w:eastAsia="仿宋" w:hAnsi="仿宋" w:hint="eastAsia"/>
          <w:sz w:val="32"/>
          <w:szCs w:val="32"/>
        </w:rPr>
        <w:t>，</w:t>
      </w:r>
      <w:r>
        <w:rPr>
          <w:rFonts w:ascii="仿宋" w:eastAsia="仿宋" w:hAnsi="仿宋" w:hint="eastAsia"/>
          <w:sz w:val="32"/>
          <w:szCs w:val="32"/>
        </w:rPr>
        <w:t>进一步优化平台设置、完善系统建设、拓展平台应用，使得苏州市预付式消费资金管理平台的公益性、服务性得以充分彰显，成为政府放心、商家安心、消费者舒心的平台。</w:t>
      </w:r>
    </w:p>
    <w:p w:rsidR="00821D2B" w:rsidRDefault="00821D2B" w:rsidP="00B37E37">
      <w:pPr>
        <w:widowControl/>
        <w:spacing w:line="560" w:lineRule="exact"/>
        <w:ind w:firstLineChars="200" w:firstLine="640"/>
        <w:jc w:val="center"/>
        <w:rPr>
          <w:rFonts w:ascii="仿宋" w:eastAsia="仿宋" w:hAnsi="仿宋"/>
          <w:sz w:val="32"/>
          <w:szCs w:val="32"/>
        </w:rPr>
      </w:pPr>
    </w:p>
    <w:sectPr w:rsidR="00821D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yy">
    <w15:presenceInfo w15:providerId="None" w15:userId="lyy"/>
  </w15:person>
  <w15:person w15:author="周 杨">
    <w15:presenceInfo w15:providerId="Windows Live" w15:userId="bbe1b0f9919d6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hYzlhNmRjZTBjMzMyM2Y4ZTgzMjY5NWY4MzVkNDkifQ=="/>
  </w:docVars>
  <w:rsids>
    <w:rsidRoot w:val="0E795D3A"/>
    <w:rsid w:val="0012217F"/>
    <w:rsid w:val="001840C5"/>
    <w:rsid w:val="0052523C"/>
    <w:rsid w:val="0058294F"/>
    <w:rsid w:val="0062495B"/>
    <w:rsid w:val="00821D2B"/>
    <w:rsid w:val="0084665B"/>
    <w:rsid w:val="00AD7F6F"/>
    <w:rsid w:val="00B37E37"/>
    <w:rsid w:val="00DF44F2"/>
    <w:rsid w:val="02A41206"/>
    <w:rsid w:val="0C63281E"/>
    <w:rsid w:val="0E795D3A"/>
    <w:rsid w:val="165C6A37"/>
    <w:rsid w:val="2F966EA7"/>
    <w:rsid w:val="302355F0"/>
    <w:rsid w:val="317730D6"/>
    <w:rsid w:val="321D4C62"/>
    <w:rsid w:val="4A8D175A"/>
    <w:rsid w:val="4BB52B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修订1"/>
    <w:hidden/>
    <w:uiPriority w:val="99"/>
    <w:semiHidden/>
    <w:rPr>
      <w:kern w:val="2"/>
      <w:sz w:val="21"/>
      <w:szCs w:val="24"/>
    </w:rPr>
  </w:style>
  <w:style w:type="paragraph" w:customStyle="1" w:styleId="2">
    <w:name w:val="修订2"/>
    <w:hidden/>
    <w:uiPriority w:val="99"/>
    <w:semiHidden/>
    <w:rPr>
      <w:kern w:val="2"/>
      <w:sz w:val="21"/>
      <w:szCs w:val="24"/>
    </w:rPr>
  </w:style>
  <w:style w:type="paragraph" w:styleId="a3">
    <w:name w:val="Balloon Text"/>
    <w:basedOn w:val="a"/>
    <w:link w:val="Char"/>
    <w:rsid w:val="00B37E37"/>
    <w:rPr>
      <w:sz w:val="18"/>
      <w:szCs w:val="18"/>
    </w:rPr>
  </w:style>
  <w:style w:type="character" w:customStyle="1" w:styleId="Char">
    <w:name w:val="批注框文本 Char"/>
    <w:basedOn w:val="a0"/>
    <w:link w:val="a3"/>
    <w:rsid w:val="00B37E3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修订1"/>
    <w:hidden/>
    <w:uiPriority w:val="99"/>
    <w:semiHidden/>
    <w:rPr>
      <w:kern w:val="2"/>
      <w:sz w:val="21"/>
      <w:szCs w:val="24"/>
    </w:rPr>
  </w:style>
  <w:style w:type="paragraph" w:customStyle="1" w:styleId="2">
    <w:name w:val="修订2"/>
    <w:hidden/>
    <w:uiPriority w:val="99"/>
    <w:semiHidden/>
    <w:rPr>
      <w:kern w:val="2"/>
      <w:sz w:val="21"/>
      <w:szCs w:val="24"/>
    </w:rPr>
  </w:style>
  <w:style w:type="paragraph" w:styleId="a3">
    <w:name w:val="Balloon Text"/>
    <w:basedOn w:val="a"/>
    <w:link w:val="Char"/>
    <w:rsid w:val="00B37E37"/>
    <w:rPr>
      <w:sz w:val="18"/>
      <w:szCs w:val="18"/>
    </w:rPr>
  </w:style>
  <w:style w:type="character" w:customStyle="1" w:styleId="Char">
    <w:name w:val="批注框文本 Char"/>
    <w:basedOn w:val="a0"/>
    <w:link w:val="a3"/>
    <w:rsid w:val="00B37E3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632</Words>
  <Characters>58</Characters>
  <Application>Microsoft Office Word</Application>
  <DocSecurity>0</DocSecurity>
  <Lines>1</Lines>
  <Paragraphs>1</Paragraphs>
  <ScaleCrop>false</ScaleCrop>
  <Company/>
  <LinksUpToDate>false</LinksUpToDate>
  <CharactersWithSpaces>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lyy</dc:creator>
  <cp:lastModifiedBy>李阳艺</cp:lastModifiedBy>
  <cp:revision>4</cp:revision>
  <dcterms:created xsi:type="dcterms:W3CDTF">2023-04-07T02:28:00Z</dcterms:created>
  <dcterms:modified xsi:type="dcterms:W3CDTF">2023-04-07T09:09:00Z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6A847BFCF68342E58229BDE9BCB176D5</vt:lpwstr>
  </property>
</Properties>
</file>