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7" w:rsidRDefault="003651F2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2023年第</w:t>
      </w:r>
      <w:r w:rsidR="00B1357F">
        <w:rPr>
          <w:rFonts w:asciiTheme="majorEastAsia" w:eastAsiaTheme="majorEastAsia" w:hAnsiTheme="majorEastAsia" w:hint="eastAsia"/>
          <w:b/>
          <w:sz w:val="36"/>
          <w:szCs w:val="36"/>
        </w:rPr>
        <w:t>二</w:t>
      </w:r>
      <w:bookmarkStart w:id="0" w:name="_GoBack"/>
      <w:bookmarkEnd w:id="0"/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季度一般关联交易情况汇总</w:t>
      </w:r>
    </w:p>
    <w:p w:rsidR="00C837EA" w:rsidRPr="00C837EA" w:rsidRDefault="00C837EA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268"/>
        <w:gridCol w:w="1276"/>
      </w:tblGrid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</w:t>
            </w:r>
          </w:p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关联交易数量（次）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交易交易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占公司注册资本比例（%）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固有财产关联交易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B1357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607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B1357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B1357F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="004607A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信托财产关联交易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B1357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B1357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B1357F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="004607A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其他关联交易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B1357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B1357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B1357F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607A0" w:rsidRDefault="004607A0"/>
    <w:sectPr w:rsidR="004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0" w:rsidRDefault="004607A0" w:rsidP="004607A0">
      <w:r>
        <w:separator/>
      </w:r>
    </w:p>
  </w:endnote>
  <w:endnote w:type="continuationSeparator" w:id="0">
    <w:p w:rsidR="004607A0" w:rsidRDefault="004607A0" w:rsidP="004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0" w:rsidRDefault="004607A0" w:rsidP="004607A0">
      <w:r>
        <w:separator/>
      </w:r>
    </w:p>
  </w:footnote>
  <w:footnote w:type="continuationSeparator" w:id="0">
    <w:p w:rsidR="004607A0" w:rsidRDefault="004607A0" w:rsidP="0046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B"/>
    <w:rsid w:val="002E6487"/>
    <w:rsid w:val="003651F2"/>
    <w:rsid w:val="004607A0"/>
    <w:rsid w:val="0076247B"/>
    <w:rsid w:val="00B1357F"/>
    <w:rsid w:val="00C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陆野</dc:creator>
  <cp:keywords/>
  <dc:description/>
  <cp:lastModifiedBy>陆野</cp:lastModifiedBy>
  <cp:revision>5</cp:revision>
  <dcterms:created xsi:type="dcterms:W3CDTF">2023-05-04T07:42:00Z</dcterms:created>
  <dcterms:modified xsi:type="dcterms:W3CDTF">2023-07-28T07:37:00Z</dcterms:modified>
</cp:coreProperties>
</file>